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DIN Next LT Pro" w:hAnsi="DIN Next LT Pro"/>
          <w:b/>
          <w:b/>
          <w:bCs/>
          <w:sz w:val="22"/>
        </w:rPr>
      </w:pPr>
      <w:r>
        <w:rPr>
          <w:rFonts w:ascii="DIN Next LT Pro" w:hAnsi="DIN Next LT Pro"/>
          <w:b/>
          <w:bCs/>
          <w:sz w:val="22"/>
        </w:rPr>
        <w:t>DIFÍCIL DESEMPEÑO EXPONE – SOLICITA</w:t>
      </w:r>
    </w:p>
    <w:p>
      <w:pPr>
        <w:pStyle w:val="Normal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</w:r>
    </w:p>
    <w:p>
      <w:pPr>
        <w:pStyle w:val="Normal"/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  <w:t>Yo, Dº/Dª _________________________________________________ con NIF _______________ y domicilio a efectos de notificaciones en ___________________________________________ _________________________________________________________________________________</w:t>
      </w:r>
    </w:p>
    <w:p>
      <w:pPr>
        <w:pStyle w:val="Normal"/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</w:r>
    </w:p>
    <w:p>
      <w:pPr>
        <w:pStyle w:val="Normal"/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b/>
          <w:bCs/>
          <w:sz w:val="22"/>
          <w:u w:val="single"/>
        </w:rPr>
        <w:t>EXPONE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DIN Next LT Pro" w:hAnsi="DIN Next LT Pro"/>
          <w:sz w:val="22"/>
        </w:rPr>
        <w:t xml:space="preserve">De acuerdo con la </w:t>
      </w:r>
      <w:r>
        <w:rPr>
          <w:rFonts w:ascii="DIN Next LT Pro" w:hAnsi="DIN Next LT Pro"/>
          <w:b/>
          <w:bCs/>
          <w:sz w:val="22"/>
        </w:rPr>
        <w:t>Resolución de 2</w:t>
      </w:r>
      <w:r>
        <w:rPr>
          <w:rFonts w:ascii="DIN Next LT Pro" w:hAnsi="DIN Next LT Pro"/>
          <w:b/>
          <w:bCs/>
          <w:sz w:val="22"/>
        </w:rPr>
        <w:t>8/</w:t>
      </w:r>
      <w:r>
        <w:rPr>
          <w:rFonts w:ascii="DIN Next LT Pro" w:hAnsi="DIN Next LT Pro"/>
          <w:b/>
          <w:bCs/>
          <w:sz w:val="22"/>
        </w:rPr>
        <w:t>10/202</w:t>
      </w:r>
      <w:r>
        <w:rPr>
          <w:rFonts w:ascii="DIN Next LT Pro" w:hAnsi="DIN Next LT Pro"/>
          <w:b/>
          <w:bCs/>
          <w:sz w:val="22"/>
        </w:rPr>
        <w:t>5</w:t>
      </w:r>
      <w:r>
        <w:rPr>
          <w:rFonts w:ascii="DIN Next LT Pro" w:hAnsi="DIN Next LT Pro"/>
          <w:b/>
          <w:bCs/>
          <w:sz w:val="22"/>
        </w:rPr>
        <w:t xml:space="preserve">, de la Consejería de Educación, Cultura y Deportes, por la que se convoca concurso de traslados de ámbito </w:t>
      </w:r>
      <w:r>
        <w:rPr>
          <w:rFonts w:ascii="DIN Next LT Pro" w:hAnsi="DIN Next LT Pro"/>
          <w:b/>
          <w:bCs/>
          <w:sz w:val="22"/>
        </w:rPr>
        <w:t>region</w:t>
      </w:r>
      <w:r>
        <w:rPr>
          <w:rFonts w:ascii="DIN Next LT Pro" w:hAnsi="DIN Next LT Pro"/>
          <w:b/>
          <w:bCs/>
          <w:sz w:val="22"/>
        </w:rPr>
        <w:t>al</w:t>
      </w:r>
      <w:r>
        <w:rPr>
          <w:rFonts w:ascii="DIN Next LT Pro" w:hAnsi="DIN Next LT Pro"/>
          <w:sz w:val="22"/>
        </w:rPr>
        <w:t xml:space="preserve"> entre funcionarios y funcionarias de distintos cuerpos docentes, </w:t>
      </w:r>
      <w:r>
        <w:rPr>
          <w:rFonts w:ascii="DIN Next LT Pro" w:hAnsi="DIN Next LT Pro"/>
          <w:b/>
          <w:bCs/>
          <w:sz w:val="22"/>
        </w:rPr>
        <w:t>dentro del a</w:t>
      </w:r>
      <w:bookmarkStart w:id="0" w:name="__DdeLink__2774_2236047635"/>
      <w:r>
        <w:rPr>
          <w:rFonts w:ascii="DIN Next LT Pro" w:hAnsi="DIN Next LT Pro"/>
          <w:b/>
          <w:bCs/>
          <w:sz w:val="22"/>
        </w:rPr>
        <w:t xml:space="preserve">partado 1.1.3 del </w:t>
      </w:r>
      <w:bookmarkEnd w:id="0"/>
      <w:r>
        <w:rPr>
          <w:rFonts w:ascii="DIN Next LT Pro" w:hAnsi="DIN Next LT Pro"/>
          <w:b/>
          <w:bCs/>
          <w:sz w:val="22"/>
        </w:rPr>
        <w:t xml:space="preserve">baremo que se aplica </w:t>
      </w:r>
      <w:r>
        <w:rPr>
          <w:rFonts w:ascii="DIN Next LT Pro" w:hAnsi="DIN Next LT Pro"/>
          <w:sz w:val="22"/>
        </w:rPr>
        <w:t xml:space="preserve">en la misma, se recoge que se valorará cada año trabajado como personal funcionario de carrera en plaza, puesto o centro que tenga la calificación de </w:t>
      </w:r>
      <w:r>
        <w:rPr>
          <w:rFonts w:ascii="DIN Next LT Pro" w:hAnsi="DIN Next LT Pro"/>
          <w:b/>
          <w:bCs/>
          <w:sz w:val="22"/>
        </w:rPr>
        <w:t xml:space="preserve">especial dificultad </w:t>
      </w:r>
      <w:r>
        <w:rPr>
          <w:rFonts w:ascii="DIN Next LT Pro" w:hAnsi="DIN Next LT Pro"/>
          <w:sz w:val="22"/>
        </w:rPr>
        <w:t xml:space="preserve">a razón de 4 puntos por año completo o a razón de 0,3333 puntos por cada mes en caso de que no se realice el curso completo. </w:t>
      </w:r>
    </w:p>
    <w:p>
      <w:pPr>
        <w:pStyle w:val="Normal"/>
        <w:numPr>
          <w:ilvl w:val="0"/>
          <w:numId w:val="1"/>
        </w:numPr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  <w:t>He prestado servicio de acuerdo a lo planteado en el punto anterior en los siguientes centros:</w:t>
      </w:r>
    </w:p>
    <w:tbl>
      <w:tblPr>
        <w:tblW w:w="9645" w:type="dxa"/>
        <w:jc w:val="left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791"/>
        <w:gridCol w:w="3740"/>
        <w:gridCol w:w="853"/>
        <w:gridCol w:w="1020"/>
        <w:gridCol w:w="2"/>
        <w:gridCol w:w="913"/>
        <w:gridCol w:w="2"/>
        <w:gridCol w:w="1183"/>
        <w:gridCol w:w="2"/>
        <w:gridCol w:w="1138"/>
      </w:tblGrid>
      <w:tr>
        <w:trPr/>
        <w:tc>
          <w:tcPr>
            <w:tcW w:w="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b/>
                <w:b/>
                <w:bCs/>
                <w:sz w:val="18"/>
                <w:szCs w:val="20"/>
              </w:rPr>
            </w:pPr>
            <w:r>
              <w:rPr>
                <w:rFonts w:ascii="DIN Next LT Pro" w:hAnsi="DIN Next LT Pro"/>
                <w:b/>
                <w:bCs/>
                <w:sz w:val="18"/>
                <w:szCs w:val="20"/>
              </w:rPr>
              <w:t>Curso</w:t>
            </w:r>
          </w:p>
        </w:tc>
        <w:tc>
          <w:tcPr>
            <w:tcW w:w="5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b/>
                <w:b/>
                <w:bCs/>
                <w:sz w:val="18"/>
                <w:szCs w:val="20"/>
              </w:rPr>
            </w:pPr>
            <w:r>
              <w:rPr>
                <w:rFonts w:ascii="DIN Next LT Pro" w:hAnsi="DIN Next LT Pro"/>
                <w:b/>
                <w:bCs/>
                <w:sz w:val="18"/>
                <w:szCs w:val="20"/>
              </w:rPr>
              <w:t>Centro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b/>
                <w:b/>
                <w:bCs/>
                <w:sz w:val="18"/>
                <w:szCs w:val="20"/>
              </w:rPr>
            </w:pPr>
            <w:r>
              <w:rPr>
                <w:rFonts w:ascii="DIN Next LT Pro" w:hAnsi="DIN Next LT Pro"/>
                <w:b/>
                <w:bCs/>
                <w:sz w:val="18"/>
                <w:szCs w:val="20"/>
              </w:rPr>
              <w:t>Curso completo (C) o fracción (F)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b/>
                <w:b/>
                <w:bCs/>
                <w:sz w:val="18"/>
                <w:szCs w:val="20"/>
              </w:rPr>
            </w:pPr>
            <w:r>
              <w:rPr>
                <w:rFonts w:ascii="DIN Next LT Pro" w:hAnsi="DIN Next LT Pro"/>
                <w:b/>
                <w:bCs/>
                <w:sz w:val="18"/>
                <w:szCs w:val="20"/>
              </w:rPr>
              <w:t>Fecha inicio servicio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b/>
                <w:b/>
                <w:bCs/>
                <w:sz w:val="18"/>
                <w:szCs w:val="20"/>
              </w:rPr>
            </w:pPr>
            <w:r>
              <w:rPr>
                <w:rFonts w:ascii="DIN Next LT Pro" w:hAnsi="DIN Next LT Pro"/>
                <w:b/>
                <w:bCs/>
                <w:sz w:val="18"/>
                <w:szCs w:val="20"/>
              </w:rPr>
              <w:t>Fecha fin de servicio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18"/>
                <w:szCs w:val="20"/>
              </w:rPr>
            </w:pPr>
            <w:r>
              <w:rPr>
                <w:rFonts w:ascii="DIN Next LT Pro" w:hAnsi="DIN Next LT Pro"/>
                <w:sz w:val="18"/>
                <w:szCs w:val="20"/>
              </w:rPr>
              <w:t>Denominación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18"/>
                <w:szCs w:val="20"/>
              </w:rPr>
            </w:pPr>
            <w:r>
              <w:rPr>
                <w:rFonts w:ascii="DIN Next LT Pro" w:hAnsi="DIN Next LT Pro"/>
                <w:sz w:val="18"/>
                <w:szCs w:val="20"/>
              </w:rPr>
              <w:t>Código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18"/>
                <w:szCs w:val="20"/>
              </w:rPr>
            </w:pPr>
            <w:r>
              <w:rPr>
                <w:rFonts w:ascii="DIN Next LT Pro" w:hAnsi="DIN Next LT Pro"/>
                <w:sz w:val="18"/>
                <w:szCs w:val="20"/>
              </w:rPr>
              <w:t>Localidad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both"/>
              <w:rPr>
                <w:rFonts w:ascii="DIN Next LT Pro" w:hAnsi="DIN Next LT Pro"/>
                <w:sz w:val="22"/>
              </w:rPr>
            </w:pPr>
            <w:r>
              <w:rPr>
                <w:rFonts w:ascii="DIN Next LT Pro" w:hAnsi="DIN Next LT Pro"/>
                <w:sz w:val="22"/>
              </w:rPr>
            </w:r>
          </w:p>
        </w:tc>
      </w:tr>
    </w:tbl>
    <w:p>
      <w:pPr>
        <w:pStyle w:val="Normal"/>
        <w:ind w:left="720" w:hanging="0"/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</w:r>
    </w:p>
    <w:p>
      <w:pPr>
        <w:pStyle w:val="Normal"/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  <w:t>La citada norma especifica que para justificar el mencionado mérito se adjunte a la solicitud una hoja de servicios expedida por la Administración educativa competente,  acompañada de una certificación expedida por la misma, acreditativa de que la plaza, puesto o centro, tiene esa calificación.</w:t>
      </w:r>
    </w:p>
    <w:p>
      <w:pPr>
        <w:pStyle w:val="Normal"/>
        <w:numPr>
          <w:ilvl w:val="0"/>
          <w:numId w:val="1"/>
        </w:numPr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  <w:t>Por todo lo mencionado anteriormente,</w:t>
      </w:r>
    </w:p>
    <w:p>
      <w:pPr>
        <w:pStyle w:val="Normal"/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</w:r>
    </w:p>
    <w:p>
      <w:pPr>
        <w:pStyle w:val="Normal"/>
        <w:jc w:val="both"/>
        <w:rPr>
          <w:rFonts w:ascii="DIN Next LT Pro" w:hAnsi="DIN Next LT Pro"/>
          <w:b/>
          <w:b/>
          <w:bCs/>
          <w:sz w:val="22"/>
          <w:u w:val="single"/>
        </w:rPr>
      </w:pPr>
      <w:r>
        <w:rPr>
          <w:rFonts w:ascii="DIN Next LT Pro" w:hAnsi="DIN Next LT Pro"/>
          <w:b/>
          <w:bCs/>
          <w:sz w:val="22"/>
          <w:u w:val="single"/>
        </w:rPr>
        <w:t>SOLICITA</w:t>
      </w:r>
    </w:p>
    <w:p>
      <w:pPr>
        <w:pStyle w:val="Normal"/>
        <w:numPr>
          <w:ilvl w:val="0"/>
          <w:numId w:val="2"/>
        </w:numPr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  <w:t>Que me sea expedida una Hoja de servicios por la Administración educativa competente, acompañada de una certificación expedida por la misma, acreditativa de que la plazas, puestos o centros que expongo, tiene esa calificación, incluyendo también otras que la administración tenga en su poder que cumplan con los requisitos mencionados en el apartado 1.1.3 del Anexo I para poder puntuar.</w:t>
      </w:r>
    </w:p>
    <w:p>
      <w:pPr>
        <w:pStyle w:val="Normal"/>
        <w:ind w:left="720" w:hanging="0"/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</w:r>
    </w:p>
    <w:p>
      <w:pPr>
        <w:pStyle w:val="Normal"/>
        <w:jc w:val="both"/>
        <w:rPr>
          <w:rFonts w:ascii="DIN Next LT Pro" w:hAnsi="DIN Next LT Pro"/>
          <w:sz w:val="22"/>
        </w:rPr>
      </w:pPr>
      <w:r>
        <w:rPr>
          <w:rFonts w:ascii="DIN Next LT Pro" w:hAnsi="DIN Next LT Pro"/>
          <w:sz w:val="22"/>
        </w:rPr>
      </w:r>
    </w:p>
    <w:p>
      <w:pPr>
        <w:pStyle w:val="Normal"/>
        <w:jc w:val="both"/>
        <w:rPr/>
      </w:pPr>
      <w:r>
        <w:rPr>
          <w:rFonts w:ascii="DIN Next LT Pro" w:hAnsi="DIN Next LT Pro"/>
          <w:sz w:val="22"/>
        </w:rPr>
        <w:t>Ilmo/a. Sr/Sra Delegado/a Provincial de Educación, Cultura y Deportes en la provincia de ____________________.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DIN Next LT Pro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fals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s-E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3d0e"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sid w:val="00493d0e"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DIN Next LT Pro" w:hAnsi="DIN Next LT Pro" w:cs="Symbol"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DIN Next LT Pro" w:hAnsi="DIN Next LT Pro" w:cs="Symbol"/>
      <w:sz w:val="2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DIN Next LT Pro" w:hAnsi="DIN Next LT Pro" w:cs="Symbol"/>
      <w:sz w:val="22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DIN Next LT Pro" w:hAnsi="DIN Next LT Pro" w:cs="Symbol"/>
      <w:sz w:val="22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rsid w:val="00493d0e"/>
    <w:pPr>
      <w:spacing w:lineRule="auto" w:line="276" w:before="0" w:after="140"/>
    </w:pPr>
    <w:rPr/>
  </w:style>
  <w:style w:type="paragraph" w:styleId="Lista">
    <w:name w:val="List"/>
    <w:basedOn w:val="Cuerpodetexto"/>
    <w:rsid w:val="00493d0e"/>
    <w:pPr/>
    <w:rPr/>
  </w:style>
  <w:style w:type="paragraph" w:styleId="Leyenda" w:customStyle="1">
    <w:name w:val="Caption"/>
    <w:basedOn w:val="Normal"/>
    <w:qFormat/>
    <w:rsid w:val="00493d0e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rsid w:val="00493d0e"/>
    <w:pPr>
      <w:suppressLineNumbers/>
    </w:pPr>
    <w:rPr/>
  </w:style>
  <w:style w:type="paragraph" w:styleId="Titular">
    <w:name w:val="Title"/>
    <w:basedOn w:val="Normal"/>
    <w:qFormat/>
    <w:rsid w:val="00493d0e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ntenidodelatabla" w:customStyle="1">
    <w:name w:val="Contenido de la tabla"/>
    <w:basedOn w:val="Normal"/>
    <w:qFormat/>
    <w:rsid w:val="00493d0e"/>
    <w:pPr>
      <w:suppressLineNumbers/>
    </w:pPr>
    <w:rPr/>
  </w:style>
  <w:style w:type="paragraph" w:styleId="Ttulodelatabla" w:customStyle="1">
    <w:name w:val="Título de la tabla"/>
    <w:basedOn w:val="Contenidodelatabla"/>
    <w:qFormat/>
    <w:rsid w:val="00493d0e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LibreOffice/6.0.7.3$Linux_X86_64 LibreOffice_project/00m0$Build-3</Application>
  <Pages>1</Pages>
  <Words>281</Words>
  <Characters>1650</Characters>
  <CharactersWithSpaces>1911</CharactersWithSpaces>
  <Paragraphs>18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2024-10-29T11:31:00Z</dcterms:created>
  <dc:creator>Usuario de Windows</dc:creator>
  <dc:description/>
  <dc:language>es-ES</dc:language>
  <cp:lastModifiedBy/>
  <dcterms:modified xsi:type="dcterms:W3CDTF">2025-11-11T12:24:58Z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