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DIN Next LT Pro Light Condensed" w:hAnsi="DIN Next LT Pro Light Condensed"/>
        </w:rPr>
      </w:pPr>
      <w:r>
        <w:rPr>
          <w:rFonts w:ascii="DIN Next LT Pro Medium Cond" w:hAnsi="DIN Next LT Pro Medium Cond"/>
          <w:sz w:val="28"/>
          <w:szCs w:val="28"/>
          <w:u w:val="single"/>
        </w:rPr>
        <w:t>La Consejería no cumple si quiera con su insuficiente Acuerdo: incluye la promoción interna dentro de la tasa de reposición y resta oportunidades de ingreso al personal interino.</w:t>
      </w:r>
      <w:r>
        <w:rPr>
          <w:rFonts w:ascii="DIN Next LT Pro Light Condensed" w:hAnsi="DIN Next LT Pro Light Condensed"/>
        </w:rPr>
        <w:br/>
        <w:br/>
      </w:r>
      <w:r>
        <w:rPr>
          <w:rFonts w:ascii="DIN Next LT Pro Light Condensed" w:hAnsi="DIN Next LT Pro Light Condensed"/>
        </w:rPr>
        <w:t>STE-CLM</w:t>
      </w:r>
      <w:r>
        <w:rPr>
          <w:rFonts w:ascii="DIN Next LT Pro Light Condensed" w:hAnsi="DIN Next LT Pro Light Condensed"/>
        </w:rPr>
        <w:t xml:space="preserve"> exige </w:t>
      </w:r>
      <w:r>
        <w:rPr>
          <w:rFonts w:ascii="DIN Next LT Pro Light Condensed" w:hAnsi="DIN Next LT Pro Light Condensed"/>
          <w:b/>
          <w:bCs/>
        </w:rPr>
        <w:t>rectificar la propuesta de empleo público</w:t>
      </w:r>
      <w:r>
        <w:rPr>
          <w:rFonts w:ascii="DIN Next LT Pro Light Condensed" w:hAnsi="DIN Next LT Pro Light Condensed"/>
        </w:rPr>
        <w:t xml:space="preserve"> y cumplir el compromiso de ofertar el máximo de plazas permitido por la normativa.</w:t>
        <w:br/>
        <w:br/>
        <w:t xml:space="preserve">Desde </w:t>
      </w:r>
      <w:r>
        <w:rPr>
          <w:rFonts w:ascii="DIN Next LT Pro Light Condensed" w:hAnsi="DIN Next LT Pro Light Condensed"/>
          <w:b/>
          <w:bCs/>
        </w:rPr>
        <w:t>STE-CLM cuestionamos</w:t>
      </w:r>
      <w:r>
        <w:rPr>
          <w:rFonts w:ascii="DIN Next LT Pro Light Condensed" w:hAnsi="DIN Next LT Pro Light Condensed"/>
        </w:rPr>
        <w:t xml:space="preserve"> el criterio utilizado por la Consejería de Educación para configurar</w:t>
      </w:r>
      <w:r>
        <w:rPr>
          <w:rFonts w:ascii="DIN Next LT Pro Light Condensed" w:hAnsi="DIN Next LT Pro Light Condensed"/>
          <w:b/>
          <w:bCs/>
        </w:rPr>
        <w:t xml:space="preserve"> la Oferta de Empleo Público </w:t>
      </w:r>
      <w:r>
        <w:rPr>
          <w:rFonts w:ascii="DIN Next LT Pro Light Condensed" w:hAnsi="DIN Next LT Pro Light Condensed"/>
        </w:rPr>
        <w:t>(OEP)</w:t>
      </w:r>
      <w:r>
        <w:rPr>
          <w:rFonts w:ascii="DIN Next LT Pro Light Condensed" w:hAnsi="DIN Next LT Pro Light Condensed"/>
        </w:rPr>
        <w:t xml:space="preserve"> de 2026 y las oposiciones docentes de 2027. La documentación presentada incluye plazas de promoción interna dentro del número obtenido mediante la tasa de reposición, </w:t>
      </w:r>
      <w:r>
        <w:rPr>
          <w:rFonts w:ascii="DIN Next LT Pro Light Condensed" w:hAnsi="DIN Next LT Pro Light Condensed"/>
          <w:b/>
          <w:bCs/>
        </w:rPr>
        <w:t>reduciendo las destinadas al ingreso de nuevo personal.</w:t>
      </w:r>
      <w:r>
        <w:rPr>
          <w:rFonts w:ascii="DIN Next LT Pro Light Condensed" w:hAnsi="DIN Next LT Pro Light Condensed"/>
        </w:rPr>
        <w:br/>
      </w:r>
    </w:p>
    <w:p>
      <w:pPr>
        <w:pStyle w:val="Normal"/>
        <w:bidi w:val="0"/>
        <w:jc w:val="start"/>
        <w:rPr>
          <w:rFonts w:ascii="DIN Next LT Pro Light Condensed" w:hAnsi="DIN Next LT Pro Light Condensed"/>
        </w:rPr>
      </w:pPr>
      <w:r>
        <w:rPr>
          <w:rFonts w:ascii="DIN Next LT Pro Light Condensed" w:hAnsi="DIN Next LT Pro Light Condensed"/>
        </w:rPr>
        <w:t>La “</w:t>
      </w:r>
      <w:r>
        <w:rPr>
          <w:rFonts w:ascii="DIN Next LT Pro Light Condensed" w:hAnsi="DIN Next LT Pro Light Condensed"/>
          <w:b/>
          <w:bCs/>
        </w:rPr>
        <w:t>tasa de reposición</w:t>
      </w:r>
      <w:r>
        <w:rPr>
          <w:rFonts w:ascii="DIN Next LT Pro Light Condensed" w:hAnsi="DIN Next LT Pro Light Condensed"/>
        </w:rPr>
        <w:t xml:space="preserve">” que se maneja a la hora de establecer la OEP es un concepto muy sencillo. Imagina las estanterías de un supermercado. Si los clientes retiran 3 botes de tomate y 4 paquetes de leche … </w:t>
      </w:r>
      <w:r>
        <w:rPr>
          <w:rFonts w:ascii="DIN Next LT Pro Light Condensed" w:hAnsi="DIN Next LT Pro Light Condensed"/>
        </w:rPr>
        <w:t>se repone p</w:t>
      </w:r>
      <w:r>
        <w:rPr>
          <w:rFonts w:ascii="DIN Next LT Pro Light Condensed" w:hAnsi="DIN Next LT Pro Light Condensed"/>
        </w:rPr>
        <w:t>recisamente eso.</w:t>
      </w:r>
      <w:r>
        <w:rPr>
          <w:rFonts w:ascii="DIN Next LT Pro Light Condensed" w:hAnsi="DIN Next LT Pro Light Condensed"/>
        </w:rPr>
        <w:br/>
      </w:r>
    </w:p>
    <w:p>
      <w:pPr>
        <w:pStyle w:val="Normal"/>
        <w:bidi w:val="0"/>
        <w:jc w:val="start"/>
        <w:rPr>
          <w:rFonts w:ascii="DIN Next LT Pro Light Condensed" w:hAnsi="DIN Next LT Pro Light Condensed"/>
        </w:rPr>
      </w:pPr>
      <w:r>
        <w:rPr>
          <w:rFonts w:ascii="DIN Next LT Pro Light Condensed" w:hAnsi="DIN Next LT Pro Light Condensed"/>
        </w:rPr>
        <w:t>E</w:t>
      </w:r>
      <w:r>
        <w:rPr>
          <w:rFonts w:ascii="DIN Next LT Pro Light Condensed" w:hAnsi="DIN Next LT Pro Light Condensed"/>
        </w:rPr>
        <w:t xml:space="preserve">n el caso que nos ocupa </w:t>
      </w:r>
      <w:r>
        <w:rPr>
          <w:rFonts w:ascii="DIN Next LT Pro Light Condensed" w:hAnsi="DIN Next LT Pro Light Condensed"/>
        </w:rPr>
        <w:t>la reposición incluye</w:t>
      </w:r>
      <w:r>
        <w:rPr>
          <w:rFonts w:ascii="DIN Next LT Pro Light Condensed" w:hAnsi="DIN Next LT Pro Light Condensed"/>
        </w:rPr>
        <w:t xml:space="preserve"> 757 jubilaciones, 16 fallecimientos y 27 situaciones administrativas con pérdida de destino definitivo. A esas cifras se restan 11 reingresos y un saldo de 193 incorporaciones por concurso de traslados. El resultado es una base de 596 efectivos, sobre la que se aplica el 120 %, obteniéndose las 715 plazas </w:t>
      </w:r>
      <w:r>
        <w:rPr>
          <w:rFonts w:ascii="DIN Next LT Pro Light Condensed" w:hAnsi="DIN Next LT Pro Light Condensed"/>
        </w:rPr>
        <w:t xml:space="preserve">que </w:t>
      </w:r>
      <w:r>
        <w:rPr>
          <w:rFonts w:ascii="DIN Next LT Pro Light Condensed" w:hAnsi="DIN Next LT Pro Light Condensed"/>
        </w:rPr>
        <w:t>prop</w:t>
      </w:r>
      <w:r>
        <w:rPr>
          <w:rFonts w:ascii="DIN Next LT Pro Light Condensed" w:hAnsi="DIN Next LT Pro Light Condensed"/>
        </w:rPr>
        <w:t>one la Consejería</w:t>
      </w:r>
      <w:r>
        <w:rPr>
          <w:rFonts w:ascii="DIN Next LT Pro Light Condensed" w:hAnsi="DIN Next LT Pro Light Condensed"/>
        </w:rPr>
        <w:t>.</w:t>
        <w:br/>
        <w:br/>
      </w:r>
      <w:r>
        <w:rPr>
          <w:rFonts w:ascii="DIN Next LT Pro Light Condensed" w:hAnsi="DIN Next LT Pro Light Condensed"/>
        </w:rPr>
        <w:t>De</w:t>
      </w:r>
      <w:r>
        <w:rPr>
          <w:rFonts w:ascii="DIN Next LT Pro Light Condensed" w:hAnsi="DIN Next LT Pro Light Condensed"/>
        </w:rPr>
        <w:t xml:space="preserve"> esas 715 plazas, 341 </w:t>
      </w:r>
      <w:r>
        <w:rPr>
          <w:rFonts w:ascii="DIN Next LT Pro Light Condensed" w:hAnsi="DIN Next LT Pro Light Condensed"/>
        </w:rPr>
        <w:t>se reservan para e</w:t>
      </w:r>
      <w:r>
        <w:rPr>
          <w:rFonts w:ascii="DIN Next LT Pro Light Condensed" w:hAnsi="DIN Next LT Pro Light Condensed"/>
        </w:rPr>
        <w:t xml:space="preserve">l Cuerpo de Maestros para 2028, </w:t>
      </w:r>
      <w:r>
        <w:rPr>
          <w:rFonts w:ascii="DIN Next LT Pro Light Condensed" w:hAnsi="DIN Next LT Pro Light Condensed"/>
        </w:rPr>
        <w:t>pero se suman las 575 que había reservadas a su vez para EEMM</w:t>
      </w:r>
      <w:r>
        <w:rPr>
          <w:rFonts w:ascii="DIN Next LT Pro Light Condensed" w:hAnsi="DIN Next LT Pro Light Condensed"/>
        </w:rPr>
        <w:t xml:space="preserve"> de la OEP de 2025. Así </w:t>
      </w:r>
      <w:r>
        <w:rPr>
          <w:rFonts w:ascii="DIN Next LT Pro Light Condensed" w:hAnsi="DIN Next LT Pro Light Condensed"/>
        </w:rPr>
        <w:t>se consiguen</w:t>
      </w:r>
      <w:r>
        <w:rPr>
          <w:rFonts w:ascii="DIN Next LT Pro Light Condensed" w:hAnsi="DIN Next LT Pro Light Condensed"/>
        </w:rPr>
        <w:t xml:space="preserve"> las 949 plazas anunciadas para </w:t>
      </w:r>
      <w:r>
        <w:rPr>
          <w:rFonts w:ascii="DIN Next LT Pro Light Condensed" w:hAnsi="DIN Next LT Pro Light Condensed"/>
        </w:rPr>
        <w:t>las oposiciones de EEMM de</w:t>
      </w:r>
      <w:r>
        <w:rPr>
          <w:rFonts w:ascii="DIN Next LT Pro Light Condensed" w:hAnsi="DIN Next LT Pro Light Condensed"/>
        </w:rPr>
        <w:t xml:space="preserve"> 2027:    </w:t>
      </w:r>
      <w:r>
        <w:rPr>
          <w:rFonts w:ascii="DIN Next LT Pro Light Condensed" w:hAnsi="DIN Next LT Pro Light Condensed"/>
          <w:i/>
          <w:iCs/>
        </w:rPr>
        <w:t xml:space="preserve">575 − 341 + 715 </w:t>
      </w:r>
      <w:r>
        <w:rPr>
          <w:rFonts w:ascii="DIN Next LT Pro Light Condensed" w:hAnsi="DIN Next LT Pro Light Condensed"/>
        </w:rPr>
        <w:t xml:space="preserve">= </w:t>
      </w:r>
      <w:r>
        <w:rPr>
          <w:rFonts w:ascii="DIN Next LT Pro Light Condensed" w:hAnsi="DIN Next LT Pro Light Condensed"/>
          <w:b/>
          <w:bCs/>
          <w:i/>
          <w:iCs/>
        </w:rPr>
        <w:t>949.</w:t>
      </w:r>
      <w:r>
        <w:rPr>
          <w:rFonts w:ascii="DIN Next LT Pro Light Condensed" w:hAnsi="DIN Next LT Pro Light Condensed"/>
        </w:rPr>
        <w:br/>
        <w:br/>
        <w:t xml:space="preserve">Sin embargo, </w:t>
      </w:r>
      <w:r>
        <w:rPr>
          <w:rFonts w:ascii="DIN Next LT Pro Light Condensed" w:hAnsi="DIN Next LT Pro Light Condensed"/>
        </w:rPr>
        <w:t xml:space="preserve">y aquí es donde está el truco, de </w:t>
      </w:r>
      <w:r>
        <w:rPr>
          <w:rFonts w:ascii="DIN Next LT Pro Light Condensed" w:hAnsi="DIN Next LT Pro Light Condensed"/>
        </w:rPr>
        <w:t xml:space="preserve">esas 949 </w:t>
      </w:r>
      <w:r>
        <w:rPr>
          <w:rFonts w:ascii="DIN Next LT Pro Light Condensed" w:hAnsi="DIN Next LT Pro Light Condensed"/>
        </w:rPr>
        <w:t>solo se destinan para nuevo ingreso</w:t>
      </w:r>
      <w:r>
        <w:rPr>
          <w:rFonts w:ascii="DIN Next LT Pro Light Condensed" w:hAnsi="DIN Next LT Pro Light Condensed"/>
        </w:rPr>
        <w:t xml:space="preserve"> 898 plazas </w:t>
      </w:r>
      <w:r>
        <w:rPr>
          <w:rFonts w:ascii="DIN Next LT Pro Light Condensed" w:hAnsi="DIN Next LT Pro Light Condensed"/>
        </w:rPr>
        <w:t>ya que</w:t>
      </w:r>
      <w:r>
        <w:rPr>
          <w:rFonts w:ascii="DIN Next LT Pro Light Condensed" w:hAnsi="DIN Next LT Pro Light Condensed"/>
        </w:rPr>
        <w:t xml:space="preserve"> 51 </w:t>
      </w:r>
      <w:r>
        <w:rPr>
          <w:rFonts w:ascii="DIN Next LT Pro Light Condensed" w:hAnsi="DIN Next LT Pro Light Condensed"/>
        </w:rPr>
        <w:t>se sustraen para</w:t>
      </w:r>
      <w:r>
        <w:rPr>
          <w:rFonts w:ascii="DIN Next LT Pro Light Condensed" w:hAnsi="DIN Next LT Pro Light Condensed"/>
        </w:rPr>
        <w:t xml:space="preserve"> promoción interna: 29 procedentes de 2025 y 22 de 2026. </w:t>
      </w:r>
      <w:r>
        <w:rPr>
          <w:rFonts w:ascii="DIN Next LT Pro Light Condensed" w:hAnsi="DIN Next LT Pro Light Condensed"/>
        </w:rPr>
        <w:t xml:space="preserve">Cabe recordar que </w:t>
      </w:r>
      <w:r>
        <w:rPr>
          <w:rFonts w:ascii="DIN Next LT Pro Light Condensed" w:hAnsi="DIN Next LT Pro Light Condensed"/>
          <w:b/>
          <w:bCs/>
        </w:rPr>
        <w:t>las plazas de promoción interna</w:t>
      </w:r>
      <w:r>
        <w:rPr>
          <w:rFonts w:ascii="DIN Next LT Pro Light Condensed" w:hAnsi="DIN Next LT Pro Light Condensed"/>
        </w:rPr>
        <w:t xml:space="preserve"> </w:t>
      </w:r>
      <w:r>
        <w:rPr>
          <w:rFonts w:ascii="DIN Next LT Pro Light Condensed" w:hAnsi="DIN Next LT Pro Light Condensed"/>
          <w:b/>
          <w:bCs/>
        </w:rPr>
        <w:t>no generan nueva plantilla</w:t>
      </w:r>
      <w:r>
        <w:rPr>
          <w:rFonts w:ascii="DIN Next LT Pro Light Condensed" w:hAnsi="DIN Next LT Pro Light Condensed"/>
        </w:rPr>
        <w:t>, sino que digamos que son funcionarios/as de carrera que se mueven de unas plazas a otras.</w:t>
      </w:r>
      <w:r>
        <w:rPr>
          <w:rFonts w:ascii="DIN Next LT Pro Light Condensed" w:hAnsi="DIN Next LT Pro Light Condensed"/>
        </w:rPr>
        <w:br/>
        <w:br/>
      </w:r>
      <w:r>
        <w:rPr>
          <w:rFonts w:ascii="DIN Next LT Pro Light Condensed" w:hAnsi="DIN Next LT Pro Light Condensed"/>
          <w:b/>
          <w:bCs/>
          <w:i w:val="false"/>
          <w:iCs w:val="false"/>
          <w:u w:val="single"/>
        </w:rPr>
        <w:t>Una interpretación que reduce las plazas de ingreso</w:t>
      </w:r>
      <w:r>
        <w:rPr>
          <w:rFonts w:ascii="DIN Next LT Pro Light Condensed" w:hAnsi="DIN Next LT Pro Light Condensed"/>
        </w:rPr>
        <w:br/>
        <w:br/>
        <w:t xml:space="preserve">El artículo 20.Tres.4.b) de la Ley 31/2022, de Presupuestos Generales del Estado para 2023, excluye del cómputo de la tasa de reposición: </w:t>
      </w:r>
      <w:r>
        <w:rPr>
          <w:rFonts w:ascii="DIN Next LT Pro Light Condensed" w:hAnsi="DIN Next LT Pro Light Condensed"/>
          <w:i/>
          <w:iCs/>
        </w:rPr>
        <w:t xml:space="preserve">«Las plazas que se convoquen por </w:t>
      </w:r>
      <w:r>
        <w:rPr>
          <w:rFonts w:ascii="DIN Next LT Pro Light Condensed" w:hAnsi="DIN Next LT Pro Light Condensed"/>
          <w:b/>
          <w:bCs/>
          <w:i/>
          <w:iCs/>
        </w:rPr>
        <w:t>promoción interna</w:t>
      </w:r>
      <w:r>
        <w:rPr>
          <w:rFonts w:ascii="DIN Next LT Pro Light Condensed" w:hAnsi="DIN Next LT Pro Light Condensed"/>
          <w:i/>
          <w:iCs/>
        </w:rPr>
        <w:t>, ni los ceses derivados de dichos procesos»</w:t>
      </w:r>
      <w:r>
        <w:rPr>
          <w:rFonts w:ascii="DIN Next LT Pro Light Condensed" w:hAnsi="DIN Next LT Pro Light Condensed"/>
        </w:rPr>
        <w:br/>
        <w:br/>
        <w:t xml:space="preserve">STE-CLM considera que esta exclusión impide utilizar la promoción interna para consumir el margen disponible de incorporación de nuevos efectivos. Por tanto, </w:t>
      </w:r>
      <w:r>
        <w:rPr>
          <w:rFonts w:ascii="DIN Next LT Pro Light Condensed" w:hAnsi="DIN Next LT Pro Light Condensed"/>
          <w:b/>
          <w:bCs/>
        </w:rPr>
        <w:t>las 22 plazas de promoción interna de 2026 deben contabilizarse fuera de las 715 calculadas mediante la tasa de reposición.</w:t>
      </w:r>
      <w:r>
        <w:rPr>
          <w:rFonts w:ascii="DIN Next LT Pro Light Condensed" w:hAnsi="DIN Next LT Pro Light Condensed"/>
        </w:rPr>
        <w:br/>
        <w:br/>
        <w:t xml:space="preserve">La Administración ha defendido que las plazas de promoción interna que no se cubran pueden pasar al turno libre. Para STE-CLM, esa </w:t>
      </w:r>
      <w:r>
        <w:rPr>
          <w:rFonts w:ascii="DIN Next LT Pro Light Condensed" w:hAnsi="DIN Next LT Pro Light Condensed"/>
        </w:rPr>
        <w:t>posible</w:t>
      </w:r>
      <w:r>
        <w:rPr>
          <w:rFonts w:ascii="DIN Next LT Pro Light Condensed" w:hAnsi="DIN Next LT Pro Light Condensed"/>
        </w:rPr>
        <w:t xml:space="preserve"> acumulación </w:t>
      </w:r>
      <w:r>
        <w:rPr>
          <w:rFonts w:ascii="DIN Next LT Pro Light Condensed" w:hAnsi="DIN Next LT Pro Light Condensed"/>
          <w:b/>
          <w:bCs/>
        </w:rPr>
        <w:t>no justifica descontarlas de antemano de</w:t>
      </w:r>
      <w:r>
        <w:rPr>
          <w:rFonts w:ascii="DIN Next LT Pro Light Condensed" w:hAnsi="DIN Next LT Pro Light Condensed"/>
          <w:b/>
          <w:bCs/>
        </w:rPr>
        <w:t>l total de las plazas de nuevo</w:t>
      </w:r>
      <w:r>
        <w:rPr>
          <w:rFonts w:ascii="DIN Next LT Pro Light Condensed" w:hAnsi="DIN Next LT Pro Light Condensed"/>
          <w:b/>
          <w:bCs/>
        </w:rPr>
        <w:t xml:space="preserve"> ingreso</w:t>
      </w:r>
      <w:r>
        <w:rPr>
          <w:rFonts w:ascii="DIN Next LT Pro Light Condensed" w:hAnsi="DIN Next LT Pro Light Condensed"/>
        </w:rPr>
        <w:t>.</w:t>
        <w:br/>
        <w:br/>
      </w:r>
      <w:r>
        <w:rPr>
          <w:rFonts w:ascii="DIN Next LT Pro Light Condensed" w:hAnsi="DIN Next LT Pro Light Condensed"/>
          <w:b/>
          <w:bCs/>
          <w:u w:val="single"/>
        </w:rPr>
        <w:t xml:space="preserve">La Consejería tampoco cumple su propio Acuerdo </w:t>
      </w:r>
      <w:r>
        <w:rPr>
          <w:rFonts w:ascii="DIN Next LT Pro Light Condensed" w:hAnsi="DIN Next LT Pro Light Condensed"/>
        </w:rPr>
        <w:br/>
        <w:br/>
        <w:t>El apartado Segundo.d), «Ofertas de empleo público (OEP)», del segundo bloque del Acuerdo de mejoras, firmado el 18 de junio de 2025 y publicado en el DOCM de 1 de julio, mantiene el compromiso de aprobar ofertas anuales «de conformidad al máximo establecido en la normativa vigente estatal», actualmente situado en el 120 % de la tasa de reposición, con el objetivo de dar estabilidad a las plantillas.</w:t>
        <w:br/>
        <w:br/>
        <w:t xml:space="preserve">Desde STE-CLM consideramos que, al descontar la promoción interna de las plazas disponibles para ingreso, </w:t>
      </w:r>
      <w:r>
        <w:rPr>
          <w:rFonts w:ascii="DIN Next LT Pro Light Condensed" w:hAnsi="DIN Next LT Pro Light Condensed"/>
          <w:b/>
          <w:bCs/>
        </w:rPr>
        <w:t>la Consejería no está ni siquiera cumpliendo el pobre e insuficiente Acuerdo</w:t>
      </w:r>
      <w:r>
        <w:rPr>
          <w:rFonts w:ascii="DIN Next LT Pro Light Condensed" w:hAnsi="DIN Next LT Pro Light Condensed"/>
        </w:rPr>
        <w:t xml:space="preserve"> que </w:t>
      </w:r>
      <w:r>
        <w:rPr>
          <w:rFonts w:ascii="DIN Next LT Pro Light Condensed" w:hAnsi="DIN Next LT Pro Light Condensed"/>
          <w:b/>
          <w:bCs/>
        </w:rPr>
        <w:t>no fue suscrito por la asamblea general de STE-CLM</w:t>
      </w:r>
      <w:r>
        <w:rPr>
          <w:rFonts w:ascii="DIN Next LT Pro Light Condensed" w:hAnsi="DIN Next LT Pro Light Condensed"/>
        </w:rPr>
        <w:t>, que además: retrasaba demasiado la reducción de lectivas, no incluía el cobro del verano para interinos con 5,5 meses y la reducción de lectivas para mayores de 55 años, además de no introducir ningún aumento del complemento regional para compensar el 25 % de la pérdida de poder adquisitivo que tenemos actualmente los docentes en la región. La Consejería no puede presumir de alcanzar el máximo legal mientras aplica un reparto que, a nuestro juicio, reduce las plazas de nuevo ingreso que podrían ofertarse.</w:t>
      </w:r>
    </w:p>
    <w:p>
      <w:pPr>
        <w:pStyle w:val="Normal"/>
        <w:bidi w:val="0"/>
        <w:jc w:val="start"/>
        <w:rPr>
          <w:rFonts w:ascii="DIN Next LT Pro Light Condensed" w:hAnsi="DIN Next LT Pro Light Condensed"/>
        </w:rPr>
      </w:pPr>
      <w:r>
        <w:rPr>
          <w:rFonts w:ascii="DIN Next LT Pro Light Condensed" w:hAnsi="DIN Next LT Pro Light Condensed"/>
        </w:rPr>
      </w:r>
    </w:p>
    <w:p>
      <w:pPr>
        <w:pStyle w:val="Normal"/>
        <w:bidi w:val="0"/>
        <w:jc w:val="start"/>
        <w:rPr>
          <w:rFonts w:ascii="DIN Next LT Pro Light Condensed" w:hAnsi="DIN Next LT Pro Light Condensed"/>
        </w:rPr>
      </w:pPr>
      <w:r>
        <w:rPr>
          <w:rFonts w:ascii="DIN Next LT Pro Light Condensed" w:hAnsi="DIN Next LT Pro Light Condensed"/>
          <w:b/>
          <w:bCs/>
          <w:u w:val="single"/>
        </w:rPr>
        <w:t>El personal interino vuelve a pagar las consecuencias</w:t>
      </w:r>
      <w:r>
        <w:rPr>
          <w:rFonts w:ascii="DIN Next LT Pro Light Condensed" w:hAnsi="DIN Next LT Pro Light Condensed"/>
        </w:rPr>
        <w:br/>
        <w:br/>
        <w:t xml:space="preserve">STE-CLM denuncia que esta forma de presentar y repartir las plazas responde a una práctica habitual de la Administración: </w:t>
      </w:r>
      <w:r>
        <w:rPr>
          <w:rFonts w:ascii="DIN Next LT Pro Light Condensed" w:hAnsi="DIN Next LT Pro Light Condensed"/>
          <w:b/>
          <w:bCs/>
        </w:rPr>
        <w:t>un juego de trilerismo administrativo</w:t>
      </w:r>
      <w:r>
        <w:rPr>
          <w:rFonts w:ascii="DIN Next LT Pro Light Condensed" w:hAnsi="DIN Next LT Pro Light Condensed"/>
        </w:rPr>
        <w:t xml:space="preserve">. En definitiva, se anuncia una cifra global de empleo público que se supone compensa los huecos dejados, cuando en realidad lo que está ocurriendo es que </w:t>
      </w:r>
      <w:r>
        <w:rPr>
          <w:rFonts w:ascii="DIN Next LT Pro Light Condensed" w:hAnsi="DIN Next LT Pro Light Condensed"/>
          <w:b/>
          <w:bCs/>
        </w:rPr>
        <w:t>están menguando las plantillas</w:t>
      </w:r>
      <w:r>
        <w:rPr>
          <w:rFonts w:ascii="DIN Next LT Pro Light Condensed" w:hAnsi="DIN Next LT Pro Light Condensed"/>
        </w:rPr>
        <w:t xml:space="preserve"> puesto que </w:t>
      </w:r>
      <w:r>
        <w:rPr>
          <w:rFonts w:ascii="DIN Next LT Pro Light Condensed" w:hAnsi="DIN Next LT Pro Light Condensed"/>
          <w:b/>
          <w:bCs/>
        </w:rPr>
        <w:t>toda la reposición no va al nuevo ingreso.</w:t>
      </w:r>
    </w:p>
    <w:p>
      <w:pPr>
        <w:pStyle w:val="Normal"/>
        <w:bidi w:val="0"/>
        <w:jc w:val="start"/>
        <w:rPr>
          <w:rFonts w:ascii="DIN Next LT Pro Light Condensed" w:hAnsi="DIN Next LT Pro Light Condensed"/>
        </w:rPr>
      </w:pPr>
      <w:r>
        <w:rPr/>
      </w:r>
    </w:p>
    <w:p>
      <w:pPr>
        <w:pStyle w:val="Normal"/>
        <w:bidi w:val="0"/>
        <w:jc w:val="start"/>
        <w:rPr>
          <w:rFonts w:ascii="DIN Next LT Pro Light Condensed" w:hAnsi="DIN Next LT Pro Light Condensed" w:eastAsia="NSimSun" w:cs="Lucida Sans"/>
          <w:color w:val="auto"/>
          <w:kern w:val="2"/>
          <w:sz w:val="24"/>
          <w:szCs w:val="24"/>
          <w:lang w:val="es-ES" w:eastAsia="zh-CN" w:bidi="hi-IN"/>
        </w:rPr>
      </w:pPr>
      <w:r>
        <w:rPr>
          <w:rFonts w:eastAsia="NSimSun" w:cs="Lucida Sans" w:ascii="DIN Next LT Pro Light Condensed" w:hAnsi="DIN Next LT Pro Light Condensed"/>
          <w:color w:val="auto"/>
          <w:kern w:val="2"/>
          <w:sz w:val="24"/>
          <w:szCs w:val="24"/>
          <w:lang w:val="es-ES" w:eastAsia="zh-CN" w:bidi="hi-IN"/>
        </w:rPr>
        <w:t xml:space="preserve">No entramos ni siquiera a valorar el sistema de “tasa de reposición”, </w:t>
      </w:r>
      <w:r>
        <w:rPr>
          <w:rFonts w:eastAsia="NSimSun" w:cs="Lucida Sans" w:ascii="DIN Next LT Pro Light Condensed" w:hAnsi="DIN Next LT Pro Light Condensed"/>
          <w:color w:val="auto"/>
          <w:kern w:val="2"/>
          <w:sz w:val="24"/>
          <w:szCs w:val="24"/>
          <w:lang w:val="es-ES" w:eastAsia="zh-CN" w:bidi="hi-IN"/>
        </w:rPr>
        <w:t xml:space="preserve">que viene impuesto a nivel de Ministerio, y </w:t>
      </w:r>
      <w:r>
        <w:rPr>
          <w:rFonts w:eastAsia="NSimSun" w:cs="Lucida Sans" w:ascii="DIN Next LT Pro Light Condensed" w:hAnsi="DIN Next LT Pro Light Condensed"/>
          <w:color w:val="auto"/>
          <w:kern w:val="2"/>
          <w:sz w:val="24"/>
          <w:szCs w:val="24"/>
          <w:lang w:val="es-ES" w:eastAsia="zh-CN" w:bidi="hi-IN"/>
        </w:rPr>
        <w:t xml:space="preserve">que no sirve para adecuar las plantillas a las necesidades de los centros. Y ahí están los datos, la tasa de interinidad sigue rondando el 30 % cuando en realidad hay una ley que la limita al 8 %. </w:t>
      </w:r>
      <w:r>
        <w:rPr>
          <w:rFonts w:eastAsia="NSimSun" w:cs="Lucida Sans" w:ascii="DIN Next LT Pro Light Condensed" w:hAnsi="DIN Next LT Pro Light Condensed"/>
          <w:color w:val="auto"/>
          <w:kern w:val="2"/>
          <w:sz w:val="24"/>
          <w:szCs w:val="24"/>
          <w:lang w:val="es-ES" w:eastAsia="zh-CN" w:bidi="hi-IN"/>
        </w:rPr>
        <w:t xml:space="preserve">Por seguir con el símil: “no es que haya que reponer lo que falta, es que hay que ampliar el supermercado”. </w:t>
      </w:r>
      <w:r>
        <w:rPr>
          <w:rFonts w:eastAsia="NSimSun" w:cs="Lucida Sans" w:ascii="DIN Next LT Pro Light Condensed" w:hAnsi="DIN Next LT Pro Light Condensed"/>
          <w:color w:val="auto"/>
          <w:kern w:val="2"/>
          <w:sz w:val="24"/>
          <w:szCs w:val="24"/>
          <w:lang w:val="es-ES" w:eastAsia="zh-CN" w:bidi="hi-IN"/>
        </w:rPr>
        <w:t>La educación pública necesita muchos más recursos.</w:t>
      </w:r>
    </w:p>
    <w:p>
      <w:pPr>
        <w:pStyle w:val="Normal"/>
        <w:bidi w:val="0"/>
        <w:jc w:val="start"/>
        <w:rPr>
          <w:rFonts w:ascii="DIN Next LT Pro Light Condensed" w:hAnsi="DIN Next LT Pro Light Condensed"/>
        </w:rPr>
      </w:pPr>
      <w:r>
        <w:rPr>
          <w:rFonts w:ascii="DIN Next LT Pro Light Condensed" w:hAnsi="DIN Next LT Pro Light Condensed"/>
        </w:rPr>
        <w:br/>
        <w:t xml:space="preserve">Quien sufre sus consecuencias es el </w:t>
      </w:r>
      <w:r>
        <w:rPr>
          <w:rFonts w:ascii="DIN Next LT Pro Light Condensed" w:hAnsi="DIN Next LT Pro Light Condensed"/>
          <w:b/>
          <w:bCs/>
          <w:u w:val="none"/>
        </w:rPr>
        <w:t>personal interino</w:t>
      </w:r>
      <w:r>
        <w:rPr>
          <w:rFonts w:ascii="DIN Next LT Pro Light Condensed" w:hAnsi="DIN Next LT Pro Light Condensed"/>
        </w:rPr>
        <w:t>, que sostiene diariamente el funcionamiento de los centros y ve cómo se convocan menos plazas de ingreso de las que corresponderían.</w:t>
        <w:br/>
        <w:br/>
        <w:t xml:space="preserve">Exigimos rectificar las 22 plazas de promoción interna de 2026 y revisar el tratamiento de las 29 procedentes de 2025. Manteniendo el resto de las cifras aportadas, la primera corrección elevaría la propuesta de 2027 a 971 plazas. Si se confirma y corrige el mismo descuento en la oferta anterior, </w:t>
      </w:r>
      <w:r>
        <w:rPr>
          <w:rFonts w:ascii="DIN Next LT Pro Light Condensed" w:hAnsi="DIN Next LT Pro Light Condensed"/>
          <w:b/>
          <w:bCs/>
        </w:rPr>
        <w:t>se alcanzarían 1.000 plazas</w:t>
      </w:r>
      <w:r>
        <w:rPr>
          <w:rFonts w:ascii="DIN Next LT Pro Light Condensed" w:hAnsi="DIN Next LT Pro Light Condensed"/>
        </w:rPr>
        <w:t>: 949 de ingreso y 51 de promoción interna.</w:t>
        <w:br/>
        <w:br/>
      </w:r>
      <w:r>
        <w:rPr>
          <w:rFonts w:ascii="DIN Next LT Pro Light Condensed" w:hAnsi="DIN Next LT Pro Light Condensed"/>
          <w:shd w:fill="auto" w:val="clear"/>
        </w:rPr>
        <w:t xml:space="preserve">STE-CLM ya ha reclamado el expediente completo de cálculo, el informe jurídico que sustenta el criterio aplicado. Así mismo </w:t>
      </w:r>
      <w:r>
        <w:rPr>
          <w:rFonts w:ascii="DIN Next LT Pro Light Condensed" w:hAnsi="DIN Next LT Pro Light Condensed"/>
          <w:shd w:fill="auto" w:val="clear"/>
        </w:rPr>
        <w:t xml:space="preserve">nos abstendremos en la votación de </w:t>
      </w:r>
      <w:r>
        <w:rPr>
          <w:rFonts w:ascii="DIN Next LT Pro Light Condensed" w:hAnsi="DIN Next LT Pro Light Condensed"/>
          <w:shd w:fill="auto" w:val="clear"/>
        </w:rPr>
        <w:t xml:space="preserve">esta OEP </w:t>
      </w:r>
      <w:r>
        <w:rPr>
          <w:rFonts w:ascii="DIN Next LT Pro Light Condensed" w:hAnsi="DIN Next LT Pro Light Condensed"/>
          <w:shd w:fill="auto" w:val="clear"/>
        </w:rPr>
        <w:t>en mesa, tanto sectorial como general,</w:t>
      </w:r>
      <w:r>
        <w:rPr>
          <w:rFonts w:ascii="DIN Next LT Pro Light Condensed" w:hAnsi="DIN Next LT Pro Light Condensed"/>
          <w:shd w:fill="auto" w:val="clear"/>
        </w:rPr>
        <w:t xml:space="preserve"> por las carencias expuestas. </w:t>
      </w:r>
      <w:r>
        <w:rPr>
          <w:rFonts w:ascii="DIN Next LT Pro Light Condensed" w:hAnsi="DIN Next LT Pro Light Condensed"/>
          <w:shd w:fill="auto" w:val="clear"/>
        </w:rPr>
        <w:t>Y por supuesto nos reservamos el derecho de emprender acciones legales contra esta OEP una vez publicada y consultados los correspondientes organos dentro de la organización.</w:t>
      </w:r>
      <w:r>
        <w:rPr>
          <w:rFonts w:ascii="DIN Next LT Pro Light Condensed" w:hAnsi="DIN Next LT Pro Light Condensed"/>
          <w:shd w:fill="FFFF00" w:val="clear"/>
        </w:rPr>
        <w:br/>
      </w:r>
      <w:r>
        <w:rPr>
          <w:rFonts w:ascii="DIN Next LT Pro Light Condensed" w:hAnsi="DIN Next LT Pro Light Condensed"/>
        </w:rPr>
        <w:b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DIN Next LT Pro Medium Cond">
    <w:charset w:val="00" w:characterSet="windows-1252"/>
    <w:family w:val="roman"/>
    <w:pitch w:val="variable"/>
  </w:font>
  <w:font w:name="DIN Next LT Pro Light Condensed"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s-E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es-ES" w:eastAsia="zh-CN" w:bidi="hi-IN"/>
    </w:rPr>
  </w:style>
  <w:style w:type="paragraph" w:styleId="Ttulo">
    <w:name w:val="Título"/>
    <w:basedOn w:val="Normal"/>
    <w:next w:val="Cuerpodetex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uerpode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uerpodetexto"/>
    <w:pPr/>
    <w:rPr>
      <w:rFonts w:cs="Lucida Sans"/>
    </w:rPr>
  </w:style>
  <w:style w:type="paragraph" w:styleId="Ley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LibreOffice/7.5.2.2$Windows_X86_64 LibreOffice_project/53bb9681a964705cf672590721dbc85eb4d0c3a2</Application>
  <AppVersion>15.0000</AppVersion>
  <Pages>2</Pages>
  <Words>958</Words>
  <Characters>4831</Characters>
  <CharactersWithSpaces>5806</CharactersWithSpaces>
  <Paragraphs>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2026-10-26T12:03:31Z</dcterms:created>
  <dc:creator/>
  <dc:description/>
  <dc:language>es-ES</dc:language>
  <cp:lastModifiedBy/>
  <dcterms:modified xsi:type="dcterms:W3CDTF">2026-10-27T11:43:10Z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